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5B279D" w14:textId="56AC3299" w:rsidR="003E0CF4" w:rsidRPr="00D94BB1" w:rsidRDefault="00D94BB1">
      <w:pPr>
        <w:rPr>
          <w:b/>
          <w:bCs/>
          <w:lang w:val="en-US"/>
        </w:rPr>
      </w:pPr>
      <w:r>
        <w:rPr>
          <w:b/>
          <w:bCs/>
          <w:lang w:val="en-US"/>
        </w:rPr>
        <w:t>EUROSTAT</w:t>
      </w:r>
      <w:r w:rsidRPr="00D94BB1">
        <w:rPr>
          <w:b/>
          <w:bCs/>
          <w:lang w:val="en-US"/>
        </w:rPr>
        <w:t xml:space="preserve"> 2022</w:t>
      </w:r>
    </w:p>
    <w:p w14:paraId="6E153522" w14:textId="46F59416" w:rsidR="00D94BB1" w:rsidRDefault="00D94BB1">
      <w:pPr>
        <w:rPr>
          <w:b/>
          <w:bCs/>
        </w:rPr>
      </w:pPr>
      <w:r w:rsidRPr="00D94BB1">
        <w:rPr>
          <w:b/>
          <w:bCs/>
        </w:rPr>
        <w:t>Индекс на разходите за труд в България, сектор „Образование“, публикуван от Евростат</w:t>
      </w:r>
    </w:p>
    <w:p w14:paraId="563EF1D9" w14:textId="6E3C76C1" w:rsidR="00763844" w:rsidRPr="00763844" w:rsidRDefault="00763844">
      <w:pPr>
        <w:rPr>
          <w:lang w:val="en-US"/>
        </w:rPr>
      </w:pPr>
      <w:hyperlink r:id="rId6" w:history="1">
        <w:r w:rsidRPr="00763844">
          <w:rPr>
            <w:rStyle w:val="Hyperlink"/>
          </w:rPr>
          <w:t>https://ec.europa.eu/eurostat/databrowser/view/LC_LCI_R2_A__custom_7572933/default/table?lang=en</w:t>
        </w:r>
      </w:hyperlink>
      <w:r w:rsidRPr="00763844">
        <w:rPr>
          <w:lang w:val="en-US"/>
        </w:rPr>
        <w:t xml:space="preserve"> </w:t>
      </w:r>
    </w:p>
    <w:p w14:paraId="44DA35DA" w14:textId="09F4AD43" w:rsidR="00D94BB1" w:rsidRDefault="00D94BB1">
      <w:r>
        <w:rPr>
          <w:noProof/>
        </w:rPr>
        <w:drawing>
          <wp:inline distT="0" distB="0" distL="0" distR="0" wp14:anchorId="0F9A7D53" wp14:editId="19216D6C">
            <wp:extent cx="8563708" cy="4817086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572070" cy="482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786EF" w14:textId="1E422C1A" w:rsidR="00D94BB1" w:rsidRDefault="00D94BB1"/>
    <w:p w14:paraId="5A2071E9" w14:textId="62BF5C10" w:rsidR="00D94BB1" w:rsidRPr="0078561A" w:rsidRDefault="00D94BB1" w:rsidP="00D94BB1">
      <w:pPr>
        <w:rPr>
          <w:rFonts w:ascii="inherit" w:hAnsi="inherit"/>
          <w:color w:val="000000"/>
          <w:lang w:val="en-US"/>
        </w:rPr>
      </w:pPr>
      <w:r w:rsidRPr="008D067B">
        <w:rPr>
          <w:rFonts w:ascii="Times New Roman" w:hAnsi="Times New Roman"/>
          <w:b/>
          <w:bCs/>
          <w:sz w:val="24"/>
          <w:szCs w:val="24"/>
        </w:rPr>
        <w:lastRenderedPageBreak/>
        <w:t>Хармонизиран индекс на потребителските цени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7C480E">
        <w:rPr>
          <w:rFonts w:ascii="Times New Roman" w:hAnsi="Times New Roman"/>
          <w:b/>
          <w:bCs/>
          <w:sz w:val="24"/>
          <w:szCs w:val="24"/>
        </w:rPr>
        <w:t>за България</w:t>
      </w:r>
      <w:r>
        <w:rPr>
          <w:rFonts w:ascii="Times New Roman" w:hAnsi="Times New Roman"/>
          <w:sz w:val="24"/>
          <w:szCs w:val="24"/>
        </w:rPr>
        <w:t xml:space="preserve">, </w:t>
      </w:r>
      <w:r w:rsidRPr="008D067B">
        <w:rPr>
          <w:rFonts w:ascii="Times New Roman" w:hAnsi="Times New Roman"/>
          <w:b/>
          <w:bCs/>
          <w:sz w:val="24"/>
          <w:szCs w:val="24"/>
        </w:rPr>
        <w:t>общ</w:t>
      </w:r>
      <w:r>
        <w:rPr>
          <w:rFonts w:ascii="Times New Roman" w:hAnsi="Times New Roman"/>
          <w:sz w:val="24"/>
          <w:szCs w:val="24"/>
        </w:rPr>
        <w:t>, публикуван от Евростат</w:t>
      </w:r>
      <w:r w:rsidRPr="000660F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inherit" w:hAnsi="inherit"/>
          <w:color w:val="000000"/>
        </w:rPr>
        <w:t>— годишни данни (средногодишен индекс и процентно изменение) [</w:t>
      </w:r>
      <w:proofErr w:type="spellStart"/>
      <w:r>
        <w:rPr>
          <w:rFonts w:ascii="inherit" w:hAnsi="inherit"/>
          <w:color w:val="000000"/>
        </w:rPr>
        <w:t>prc_hicp_aind</w:t>
      </w:r>
      <w:proofErr w:type="spellEnd"/>
      <w:r>
        <w:rPr>
          <w:rFonts w:ascii="inherit" w:hAnsi="inherit"/>
          <w:color w:val="000000"/>
        </w:rPr>
        <w:t>]</w:t>
      </w:r>
      <w:r w:rsidR="0078561A">
        <w:rPr>
          <w:rFonts w:ascii="inherit" w:hAnsi="inherit"/>
          <w:color w:val="000000"/>
          <w:lang w:val="en-US"/>
        </w:rPr>
        <w:t xml:space="preserve"> </w:t>
      </w:r>
      <w:hyperlink r:id="rId8" w:history="1">
        <w:r w:rsidR="0078561A" w:rsidRPr="00570554">
          <w:rPr>
            <w:rStyle w:val="Hyperlink"/>
            <w:rFonts w:ascii="inherit" w:hAnsi="inherit"/>
            <w:lang w:val="en-US"/>
          </w:rPr>
          <w:t>https://ec.europa.eu/eurostat/databrowser/view/PRC_HICP_AIND__custom_7569263/default/table?lang=en</w:t>
        </w:r>
      </w:hyperlink>
      <w:r w:rsidR="0078561A">
        <w:rPr>
          <w:rFonts w:ascii="inherit" w:hAnsi="inherit"/>
          <w:color w:val="000000"/>
          <w:lang w:val="en-US"/>
        </w:rPr>
        <w:t xml:space="preserve"> </w:t>
      </w:r>
    </w:p>
    <w:p w14:paraId="7475B6A7" w14:textId="77777777" w:rsidR="007C480E" w:rsidRDefault="007C480E" w:rsidP="00D94BB1">
      <w:pPr>
        <w:rPr>
          <w:rFonts w:ascii="inherit" w:hAnsi="inherit"/>
          <w:color w:val="000000"/>
        </w:rPr>
      </w:pPr>
    </w:p>
    <w:p w14:paraId="6BA2A853" w14:textId="654D8BB5" w:rsidR="00D94BB1" w:rsidRDefault="007C480E">
      <w:r>
        <w:rPr>
          <w:noProof/>
        </w:rPr>
        <w:drawing>
          <wp:inline distT="0" distB="0" distL="0" distR="0" wp14:anchorId="0E1929B4" wp14:editId="145377A9">
            <wp:extent cx="9170377" cy="5158174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13021" cy="518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5845B" w14:textId="572D7C4A" w:rsidR="007C480E" w:rsidRDefault="007C480E">
      <w:r w:rsidRPr="007C480E">
        <w:rPr>
          <w:b/>
          <w:bCs/>
        </w:rPr>
        <w:lastRenderedPageBreak/>
        <w:t>Хармонизиран индекс на потребителските цени за България</w:t>
      </w:r>
      <w:r w:rsidRPr="007C480E">
        <w:t xml:space="preserve">, COICOP 3 цифри = </w:t>
      </w:r>
      <w:r w:rsidRPr="007C480E">
        <w:rPr>
          <w:b/>
          <w:bCs/>
        </w:rPr>
        <w:t>услуги</w:t>
      </w:r>
      <w:r w:rsidRPr="007C480E">
        <w:t xml:space="preserve"> (общ индекс без стоки „SERV“)</w:t>
      </w:r>
    </w:p>
    <w:p w14:paraId="07060DA9" w14:textId="52D98C85" w:rsidR="00295AB4" w:rsidRPr="00295AB4" w:rsidRDefault="00295AB4">
      <w:pPr>
        <w:rPr>
          <w:lang w:val="en-US"/>
        </w:rPr>
      </w:pPr>
      <w:hyperlink r:id="rId10" w:history="1">
        <w:r w:rsidRPr="00570554">
          <w:rPr>
            <w:rStyle w:val="Hyperlink"/>
          </w:rPr>
          <w:t>https://ec.europa.eu/eurostat/databrowser/view/PRC_HICP_AIND__custom_7569263/default/table?lang=en</w:t>
        </w:r>
      </w:hyperlink>
      <w:r>
        <w:rPr>
          <w:lang w:val="en-US"/>
        </w:rPr>
        <w:t xml:space="preserve"> </w:t>
      </w:r>
    </w:p>
    <w:p w14:paraId="264297E5" w14:textId="15AD6D72" w:rsidR="007C480E" w:rsidRDefault="007C480E">
      <w:r>
        <w:rPr>
          <w:noProof/>
        </w:rPr>
        <w:drawing>
          <wp:inline distT="0" distB="0" distL="0" distR="0" wp14:anchorId="5039F47B" wp14:editId="5095D395">
            <wp:extent cx="9066133" cy="5099538"/>
            <wp:effectExtent l="0" t="0" r="1905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84094" cy="5109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C7B5E" w14:textId="46258D87" w:rsidR="009565AF" w:rsidRDefault="009565AF"/>
    <w:p w14:paraId="29B35FB7" w14:textId="2DF2BE30" w:rsidR="009565AF" w:rsidRDefault="009565AF">
      <w:r w:rsidRPr="009565AF">
        <w:rPr>
          <w:b/>
          <w:bCs/>
        </w:rPr>
        <w:lastRenderedPageBreak/>
        <w:t>Хармонизиран индекс на потребителските цени за България</w:t>
      </w:r>
      <w:r w:rsidRPr="009565AF">
        <w:t xml:space="preserve">, COICOP 3 цифри = </w:t>
      </w:r>
      <w:r w:rsidRPr="009565AF">
        <w:rPr>
          <w:b/>
          <w:bCs/>
        </w:rPr>
        <w:t>услуги по обществено хранене</w:t>
      </w:r>
      <w:r w:rsidRPr="009565AF">
        <w:t xml:space="preserve"> („CP111“)</w:t>
      </w:r>
    </w:p>
    <w:p w14:paraId="54770656" w14:textId="182956FE" w:rsidR="009565AF" w:rsidRPr="009565AF" w:rsidRDefault="009565AF">
      <w:pPr>
        <w:rPr>
          <w:lang w:val="en-US"/>
        </w:rPr>
      </w:pPr>
      <w:hyperlink r:id="rId12" w:history="1">
        <w:r w:rsidRPr="00570554">
          <w:rPr>
            <w:rStyle w:val="Hyperlink"/>
          </w:rPr>
          <w:t>https://ec.europa.eu/eurostat/databrowser/view/PRC_HICP_AIND__custom_7569263/default/table?lang=en</w:t>
        </w:r>
      </w:hyperlink>
      <w:r>
        <w:rPr>
          <w:lang w:val="en-US"/>
        </w:rPr>
        <w:t xml:space="preserve"> </w:t>
      </w:r>
    </w:p>
    <w:p w14:paraId="0CBFF828" w14:textId="7D1A2448" w:rsidR="009565AF" w:rsidRDefault="009565AF">
      <w:r>
        <w:rPr>
          <w:noProof/>
        </w:rPr>
        <w:drawing>
          <wp:inline distT="0" distB="0" distL="0" distR="0" wp14:anchorId="6EEEEBEB" wp14:editId="044D8BA4">
            <wp:extent cx="8892540" cy="5001895"/>
            <wp:effectExtent l="0" t="0" r="381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2FFEB" w14:textId="271356A4" w:rsidR="007C480E" w:rsidRDefault="009565AF">
      <w:r w:rsidRPr="009565AF">
        <w:t xml:space="preserve">Хармонизиран индекс на потребителските цени за България, COICOP 3 цифри = </w:t>
      </w:r>
      <w:r w:rsidRPr="009565AF">
        <w:rPr>
          <w:b/>
          <w:bCs/>
        </w:rPr>
        <w:t>услуги по краткосрочно настаняване</w:t>
      </w:r>
      <w:r w:rsidRPr="009565AF">
        <w:t xml:space="preserve"> („CP112“)</w:t>
      </w:r>
    </w:p>
    <w:p w14:paraId="2BEFABF1" w14:textId="15794BF7" w:rsidR="009565AF" w:rsidRDefault="009565AF">
      <w:pPr>
        <w:rPr>
          <w:lang w:val="en-US"/>
        </w:rPr>
      </w:pPr>
      <w:hyperlink r:id="rId14" w:history="1">
        <w:r w:rsidRPr="00570554">
          <w:rPr>
            <w:rStyle w:val="Hyperlink"/>
          </w:rPr>
          <w:t>https://ec.europa.eu/eurostat/databrowser/view/PRC_HICP_AIND__custom_7569263/default/table?lang=en</w:t>
        </w:r>
      </w:hyperlink>
      <w:r>
        <w:rPr>
          <w:lang w:val="en-US"/>
        </w:rPr>
        <w:t xml:space="preserve"> </w:t>
      </w:r>
    </w:p>
    <w:p w14:paraId="6963F1C9" w14:textId="19FFD12B" w:rsidR="009565AF" w:rsidRPr="009565AF" w:rsidRDefault="009565AF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6082116" wp14:editId="217B7169">
            <wp:extent cx="8892540" cy="5001895"/>
            <wp:effectExtent l="0" t="0" r="381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65AF" w:rsidRPr="009565AF" w:rsidSect="0078561A">
      <w:footerReference w:type="default" r:id="rId16"/>
      <w:pgSz w:w="16838" w:h="11906" w:orient="landscape"/>
      <w:pgMar w:top="70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8C0668" w14:textId="77777777" w:rsidR="00805629" w:rsidRDefault="00805629" w:rsidP="00295AB4">
      <w:pPr>
        <w:spacing w:after="0" w:line="240" w:lineRule="auto"/>
      </w:pPr>
      <w:r>
        <w:separator/>
      </w:r>
    </w:p>
  </w:endnote>
  <w:endnote w:type="continuationSeparator" w:id="0">
    <w:p w14:paraId="584D9E11" w14:textId="77777777" w:rsidR="00805629" w:rsidRDefault="00805629" w:rsidP="00295A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9913936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D1B098D" w14:textId="170468F2" w:rsidR="00295AB4" w:rsidRDefault="00295AB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4D15C56" w14:textId="77777777" w:rsidR="00295AB4" w:rsidRDefault="00295AB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02291E" w14:textId="77777777" w:rsidR="00805629" w:rsidRDefault="00805629" w:rsidP="00295AB4">
      <w:pPr>
        <w:spacing w:after="0" w:line="240" w:lineRule="auto"/>
      </w:pPr>
      <w:r>
        <w:separator/>
      </w:r>
    </w:p>
  </w:footnote>
  <w:footnote w:type="continuationSeparator" w:id="0">
    <w:p w14:paraId="06BA2D26" w14:textId="77777777" w:rsidR="00805629" w:rsidRDefault="00805629" w:rsidP="00295AB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4BB1"/>
    <w:rsid w:val="00295AB4"/>
    <w:rsid w:val="003E0CF4"/>
    <w:rsid w:val="00763844"/>
    <w:rsid w:val="0078561A"/>
    <w:rsid w:val="007C480E"/>
    <w:rsid w:val="00805629"/>
    <w:rsid w:val="009565AF"/>
    <w:rsid w:val="00A672AB"/>
    <w:rsid w:val="00D94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4C9EAF"/>
  <w15:chartTrackingRefBased/>
  <w15:docId w15:val="{F2B39DAD-A276-49FD-8A92-560EDF48B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72A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9565A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565AF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295A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95AB4"/>
  </w:style>
  <w:style w:type="paragraph" w:styleId="Footer">
    <w:name w:val="footer"/>
    <w:basedOn w:val="Normal"/>
    <w:link w:val="FooterChar"/>
    <w:uiPriority w:val="99"/>
    <w:unhideWhenUsed/>
    <w:rsid w:val="00295A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95AB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c.europa.eu/eurostat/databrowser/view/PRC_HICP_AIND__custom_7569263/default/table?lang=en" TargetMode="Externa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hyperlink" Target="https://ec.europa.eu/eurostat/databrowser/view/PRC_HICP_AIND__custom_7569263/default/table?lang=en" TargetMode="Externa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s://ec.europa.eu/eurostat/databrowser/view/LC_LCI_R2_A__custom_7572933/default/table?lang=en" TargetMode="External"/><Relationship Id="rId11" Type="http://schemas.openxmlformats.org/officeDocument/2006/relationships/image" Target="media/image3.png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10" Type="http://schemas.openxmlformats.org/officeDocument/2006/relationships/hyperlink" Target="https://ec.europa.eu/eurostat/databrowser/view/PRC_HICP_AIND__custom_7569263/default/table?lang=en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hyperlink" Target="https://ec.europa.eu/eurostat/databrowser/view/PRC_HICP_AIND__custom_7569263/default/table?lang=e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251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Author</dc:creator>
  <cp:keywords/>
  <dc:description/>
  <cp:lastModifiedBy>Author</cp:lastModifiedBy>
  <cp:revision>4</cp:revision>
  <dcterms:created xsi:type="dcterms:W3CDTF">2023-09-26T08:10:00Z</dcterms:created>
  <dcterms:modified xsi:type="dcterms:W3CDTF">2023-09-26T08:46:00Z</dcterms:modified>
</cp:coreProperties>
</file>